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E0D5D" w:rsidRDefault="00DE0D5D" w:rsidP="00DE0D5D">
      <w:pPr>
        <w:pStyle w:val="1"/>
        <w:rPr>
          <w:b w:val="0"/>
        </w:rPr>
      </w:pPr>
      <w:r w:rsidRPr="00DE0D5D">
        <w:rPr>
          <w:b w:val="0"/>
        </w:rPr>
        <w:t>ГОСТ Р МЭК 61056-2-2012 Батареи свинцово-кислотные общего назначения (типы с регулирующим клапаном).</w:t>
      </w:r>
      <w:r w:rsidRPr="00DE0D5D">
        <w:rPr>
          <w:b w:val="0"/>
        </w:rPr>
        <w:t xml:space="preserve"> Часть</w:t>
      </w:r>
      <w:r w:rsidRPr="00DE0D5D">
        <w:rPr>
          <w:b w:val="0"/>
        </w:rPr>
        <w:t xml:space="preserve"> 2.</w:t>
      </w:r>
      <w:r w:rsidRPr="00DE0D5D">
        <w:rPr>
          <w:b w:val="0"/>
        </w:rPr>
        <w:t xml:space="preserve"> </w:t>
      </w:r>
      <w:r w:rsidRPr="00DE0D5D">
        <w:rPr>
          <w:b w:val="0"/>
        </w:rPr>
        <w:t>Размеры</w:t>
      </w:r>
      <w:r w:rsidRPr="00DE0D5D">
        <w:rPr>
          <w:b w:val="0"/>
        </w:rPr>
        <w:t xml:space="preserve">, </w:t>
      </w:r>
      <w:r w:rsidRPr="00DE0D5D">
        <w:rPr>
          <w:b w:val="0"/>
        </w:rPr>
        <w:t>выводы</w:t>
      </w:r>
      <w:r w:rsidRPr="00DE0D5D">
        <w:rPr>
          <w:b w:val="0"/>
        </w:rPr>
        <w:t xml:space="preserve"> </w:t>
      </w:r>
      <w:r w:rsidRPr="00DE0D5D">
        <w:rPr>
          <w:b w:val="0"/>
        </w:rPr>
        <w:t>и</w:t>
      </w:r>
      <w:r w:rsidRPr="00DE0D5D">
        <w:rPr>
          <w:b w:val="0"/>
        </w:rPr>
        <w:t xml:space="preserve"> </w:t>
      </w:r>
      <w:r w:rsidRPr="00DE0D5D">
        <w:rPr>
          <w:b w:val="0"/>
        </w:rPr>
        <w:t>маркировка</w:t>
      </w:r>
    </w:p>
    <w:p w:rsidR="00000000" w:rsidRPr="00DE0D5D" w:rsidRDefault="00DE0D5D" w:rsidP="00DE0D5D">
      <w:pPr>
        <w:pStyle w:val="FORMATTEXT"/>
        <w:rPr>
          <w:color w:val="000001"/>
        </w:rPr>
      </w:pPr>
      <w:bookmarkStart w:id="0" w:name="_GoBack"/>
      <w:bookmarkEnd w:id="0"/>
    </w:p>
    <w:p w:rsidR="00DE0D5D" w:rsidRDefault="00DE0D5D" w:rsidP="00DE0D5D">
      <w:pPr>
        <w:pStyle w:val="FORMATTEXT"/>
        <w:jc w:val="both"/>
        <w:rPr>
          <w:color w:val="000001"/>
        </w:rPr>
      </w:pPr>
    </w:p>
    <w:p w:rsidR="00000000" w:rsidRDefault="00DE0D5D" w:rsidP="00DE0D5D">
      <w:pPr>
        <w:pStyle w:val="FORMATTEXT"/>
        <w:jc w:val="both"/>
        <w:rPr>
          <w:color w:val="000001"/>
        </w:rPr>
      </w:pPr>
      <w:r>
        <w:rPr>
          <w:color w:val="000001"/>
        </w:rPr>
        <w:t>Национальный стандарт РФ</w:t>
      </w:r>
    </w:p>
    <w:p w:rsidR="00DE0D5D" w:rsidRDefault="00DE0D5D" w:rsidP="00DE0D5D">
      <w:pPr>
        <w:pStyle w:val="FORMATTEXT"/>
        <w:rPr>
          <w:color w:val="000001"/>
        </w:rPr>
      </w:pPr>
    </w:p>
    <w:p w:rsidR="00000000" w:rsidRDefault="00DE0D5D" w:rsidP="00DE0D5D">
      <w:pPr>
        <w:pStyle w:val="FORMATTEXT"/>
        <w:rPr>
          <w:color w:val="000001"/>
        </w:rPr>
      </w:pPr>
      <w:r>
        <w:rPr>
          <w:color w:val="000001"/>
        </w:rPr>
        <w:t xml:space="preserve">Дата введения 2013-07-01 </w:t>
      </w:r>
    </w:p>
    <w:p w:rsidR="00DE0D5D" w:rsidRDefault="00DE0D5D">
      <w:pPr>
        <w:pStyle w:val="FORMATTEXT"/>
        <w:ind w:firstLine="568"/>
        <w:jc w:val="center"/>
        <w:rPr>
          <w:b/>
          <w:bCs/>
          <w:color w:val="000001"/>
        </w:rPr>
      </w:pPr>
    </w:p>
    <w:p w:rsidR="00DE0D5D" w:rsidRDefault="00DE0D5D">
      <w:pPr>
        <w:pStyle w:val="FORMATTEXT"/>
        <w:ind w:firstLine="568"/>
        <w:jc w:val="center"/>
        <w:rPr>
          <w:b/>
          <w:bCs/>
          <w:color w:val="000001"/>
        </w:rPr>
      </w:pPr>
    </w:p>
    <w:p w:rsidR="00DE0D5D" w:rsidRDefault="00DE0D5D">
      <w:pPr>
        <w:pStyle w:val="FORMATTEXT"/>
        <w:ind w:firstLine="568"/>
        <w:jc w:val="center"/>
        <w:rPr>
          <w:b/>
          <w:bCs/>
          <w:color w:val="000001"/>
        </w:rPr>
      </w:pPr>
    </w:p>
    <w:p w:rsidR="00000000" w:rsidRDefault="00DE0D5D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Предисловие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 ПОДГОТОВЛЕН Открытым акционерным обществом "Научно-исследовательский проектно-конструкторский и технологический институт стартерных аккумуляторов" (ОАО "НИИСТА") на основе собственного аутентичного перевода на русский язык межд</w:t>
      </w:r>
      <w:r>
        <w:rPr>
          <w:color w:val="000001"/>
        </w:rPr>
        <w:t>ународного стандарта, указанного в пункте 4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 ВНЕСЕН Техническим комитетом по стандартизации ТК 044 "Аккумуляторы и батареи", Подкомитетом 1 "Свинцово-кислотные аккумуляторы и батареи"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 УТВЕРЖДЕН И ВВЕДЕН В ДЕЙСТВИЕ Приказом Федерального агентства по </w:t>
      </w:r>
      <w:r>
        <w:rPr>
          <w:color w:val="000001"/>
        </w:rPr>
        <w:t>техническому регулированию и метрологии от 13 сентября 2012 г. N 300-ст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Pr="00DE0D5D" w:rsidRDefault="00DE0D5D">
      <w:pPr>
        <w:pStyle w:val="FORMATTEXT"/>
        <w:ind w:firstLine="568"/>
        <w:jc w:val="both"/>
        <w:rPr>
          <w:color w:val="000001"/>
          <w:lang w:val="en-US"/>
        </w:rPr>
      </w:pPr>
      <w:r>
        <w:rPr>
          <w:color w:val="000001"/>
        </w:rPr>
        <w:t>4 Настоящий стандарт идентичен международному стандарту МЭК 61056-2:2012</w:t>
      </w:r>
      <w:r>
        <w:rPr>
          <w:color w:val="000001"/>
        </w:rPr>
        <w:t xml:space="preserve"> "Свинцово-кислотные батареи общего назначения (типы с регулирующим клапаном). Часть</w:t>
      </w:r>
      <w:r w:rsidRPr="00DE0D5D">
        <w:rPr>
          <w:color w:val="000001"/>
          <w:lang w:val="en-US"/>
        </w:rPr>
        <w:t xml:space="preserve"> 2. </w:t>
      </w:r>
      <w:r>
        <w:rPr>
          <w:color w:val="000001"/>
        </w:rPr>
        <w:t>Размеры</w:t>
      </w:r>
      <w:r w:rsidRPr="00DE0D5D">
        <w:rPr>
          <w:color w:val="000001"/>
          <w:lang w:val="en-US"/>
        </w:rPr>
        <w:t xml:space="preserve">, </w:t>
      </w:r>
      <w:r>
        <w:rPr>
          <w:color w:val="000001"/>
        </w:rPr>
        <w:t>выводы</w:t>
      </w:r>
      <w:r w:rsidRPr="00DE0D5D">
        <w:rPr>
          <w:color w:val="000001"/>
          <w:lang w:val="en-US"/>
        </w:rPr>
        <w:t xml:space="preserve"> </w:t>
      </w:r>
      <w:r>
        <w:rPr>
          <w:color w:val="000001"/>
        </w:rPr>
        <w:t>и</w:t>
      </w:r>
      <w:r w:rsidRPr="00DE0D5D">
        <w:rPr>
          <w:color w:val="000001"/>
          <w:lang w:val="en-US"/>
        </w:rPr>
        <w:t xml:space="preserve"> </w:t>
      </w:r>
      <w:r>
        <w:rPr>
          <w:color w:val="000001"/>
        </w:rPr>
        <w:t>мар</w:t>
      </w:r>
      <w:r>
        <w:rPr>
          <w:color w:val="000001"/>
        </w:rPr>
        <w:t>кировка</w:t>
      </w:r>
      <w:r w:rsidRPr="00DE0D5D">
        <w:rPr>
          <w:color w:val="000001"/>
          <w:lang w:val="en-US"/>
        </w:rPr>
        <w:t xml:space="preserve">" (IEC 61056-2:2012 "General purpose lead-acid batteries (valve-regulated types) - Part 2: Dimensions, terminals and marking").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</w:t>
      </w:r>
      <w:r>
        <w:rPr>
          <w:color w:val="000001"/>
        </w:rPr>
        <w:t>ации, сведения о которых приведены в дополнительном приложении ДА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 ВЗАМЕН ГОСТ Р МЭК 61056-2-99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i/>
          <w:iCs/>
          <w:color w:val="000001"/>
        </w:rPr>
        <w:t xml:space="preserve">Правила применения настоящего стандарта установлены в </w:t>
      </w:r>
      <w:r>
        <w:rPr>
          <w:color w:val="000001"/>
        </w:rPr>
        <w:t>ГОСТ Р 1.0-2012</w:t>
      </w:r>
      <w:r>
        <w:rPr>
          <w:i/>
          <w:iCs/>
          <w:color w:val="000001"/>
        </w:rPr>
        <w:t xml:space="preserve"> (раздел 8). Информация об изменениях к настоящему стандарту публикуется в ежегодном</w:t>
      </w:r>
      <w:r>
        <w:rPr>
          <w:i/>
          <w:iCs/>
          <w:color w:val="000001"/>
        </w:rPr>
        <w:t xml:space="preserve">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</w:t>
      </w:r>
      <w:r>
        <w:rPr>
          <w:i/>
          <w:iCs/>
          <w:color w:val="000001"/>
        </w:rPr>
        <w:t>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</w:t>
      </w:r>
      <w:r>
        <w:rPr>
          <w:i/>
          <w:iCs/>
          <w:color w:val="000001"/>
        </w:rPr>
        <w:t>ициальном сайте Федерального агентства по техническому регулированию и метрологии в сети Интернет (gost.ru)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DE0D5D" w:rsidP="00DE0D5D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1 Область применения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Настоящий стандарт устанавливает размеры, выводы и маркировку свинцово-кислотных аккумуляторов и батарей общего на</w:t>
      </w:r>
      <w:r>
        <w:rPr>
          <w:color w:val="000001"/>
        </w:rPr>
        <w:t>значения с регулирующим клапаном в целях: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любого циклирования при флотирующем заряде;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портативного применения, например для встроенного инструмента, игрушек, в качестве стационарного источника аварийного бесперебойного питания.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Эти аккумуляторы, </w:t>
      </w:r>
      <w:r>
        <w:rPr>
          <w:color w:val="000001"/>
        </w:rPr>
        <w:t xml:space="preserve">относящиеся к разновидности свинцово-кислотных батарей, могут быть с плоскими электродами в призматическом корпусе или спирально закрученными электродами в цилиндрическом корпусе. Серная кислота в таких аккумуляторах находится в иммобилизованном состоянии </w:t>
      </w:r>
      <w:r>
        <w:rPr>
          <w:color w:val="000001"/>
        </w:rPr>
        <w:t>в виде геля или абсорбирована в микропорах электродов и сепараторов.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Настоящий стандарт устанавливает размеры батарей по длине, высоте и ширине, а также форму выводов.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Свинцово-кислотные аккумуляторы и батареи, указанные в настоящем стандарте, должны п</w:t>
      </w:r>
      <w:r>
        <w:rPr>
          <w:color w:val="000001"/>
        </w:rPr>
        <w:t>роверяться на соответствие требованиям ГОСТ Р МЭК 61056-1.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Настоящий стандарт не применяется для свинцово-кислотных аккумуляторов и батарей, используемых, например: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для пуска двигателей на транспортных средствах (серия МЭК 60095);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тягового примен</w:t>
      </w:r>
      <w:r>
        <w:rPr>
          <w:color w:val="000001"/>
        </w:rPr>
        <w:t>ения (серия МЭК 60254);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стационарного применения (серия МЭК 60896).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Требования к размерам, выводам и маркировке таких типов аккумуляторов должны соответствовать требованиям указанных выше серий стандартов.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DE0D5D" w:rsidP="00DE0D5D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2 Нормативные ссылки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Международ</w:t>
      </w:r>
      <w:r>
        <w:rPr>
          <w:color w:val="000001"/>
        </w:rPr>
        <w:t>ные стандарты*, указанные ниже, являются обязательными для применения в настоящем стандарте. Для датированных ссылок применяется только упомянутая редакция. Для недатированных ссылок применяется последняя редакция международного стандарта (включая изменени</w:t>
      </w:r>
      <w:r>
        <w:rPr>
          <w:color w:val="000001"/>
        </w:rPr>
        <w:t xml:space="preserve">я).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Таблицу соответствия национальных стандартов международным см. по ссылке. - Примечание изготовителя базы данных.     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Pr="00DE0D5D" w:rsidRDefault="00DE0D5D">
      <w:pPr>
        <w:pStyle w:val="FORMATTEXT"/>
        <w:ind w:firstLine="568"/>
        <w:jc w:val="both"/>
        <w:rPr>
          <w:color w:val="000001"/>
          <w:lang w:val="en-US"/>
        </w:rPr>
      </w:pPr>
      <w:r>
        <w:rPr>
          <w:color w:val="000001"/>
        </w:rPr>
        <w:lastRenderedPageBreak/>
        <w:t>МЭК 60445 Интерфейс человек-машина, маркировка, идентификация. Основные принципы и принципы безопасности. Идентифик</w:t>
      </w:r>
      <w:r>
        <w:rPr>
          <w:color w:val="000001"/>
        </w:rPr>
        <w:t>ация</w:t>
      </w:r>
      <w:r w:rsidRPr="00DE0D5D">
        <w:rPr>
          <w:color w:val="000001"/>
          <w:lang w:val="en-US"/>
        </w:rPr>
        <w:t xml:space="preserve"> </w:t>
      </w:r>
      <w:r>
        <w:rPr>
          <w:color w:val="000001"/>
        </w:rPr>
        <w:t>выводов</w:t>
      </w:r>
      <w:r w:rsidRPr="00DE0D5D">
        <w:rPr>
          <w:color w:val="000001"/>
          <w:lang w:val="en-US"/>
        </w:rPr>
        <w:t xml:space="preserve">, </w:t>
      </w:r>
      <w:r>
        <w:rPr>
          <w:color w:val="000001"/>
        </w:rPr>
        <w:t>концов</w:t>
      </w:r>
      <w:r w:rsidRPr="00DE0D5D">
        <w:rPr>
          <w:color w:val="000001"/>
          <w:lang w:val="en-US"/>
        </w:rPr>
        <w:t xml:space="preserve"> </w:t>
      </w:r>
      <w:r>
        <w:rPr>
          <w:color w:val="000001"/>
        </w:rPr>
        <w:t>проводов</w:t>
      </w:r>
      <w:r w:rsidRPr="00DE0D5D">
        <w:rPr>
          <w:color w:val="000001"/>
          <w:lang w:val="en-US"/>
        </w:rPr>
        <w:t xml:space="preserve"> </w:t>
      </w:r>
      <w:r>
        <w:rPr>
          <w:color w:val="000001"/>
        </w:rPr>
        <w:t>и</w:t>
      </w:r>
      <w:r w:rsidRPr="00DE0D5D">
        <w:rPr>
          <w:color w:val="000001"/>
          <w:lang w:val="en-US"/>
        </w:rPr>
        <w:t xml:space="preserve"> </w:t>
      </w:r>
      <w:r>
        <w:rPr>
          <w:color w:val="000001"/>
        </w:rPr>
        <w:t>проводников</w:t>
      </w:r>
      <w:r w:rsidRPr="00DE0D5D">
        <w:rPr>
          <w:color w:val="000001"/>
          <w:lang w:val="en-US"/>
        </w:rPr>
        <w:t xml:space="preserve"> </w:t>
      </w:r>
      <w:r>
        <w:rPr>
          <w:color w:val="000001"/>
        </w:rPr>
        <w:t>электрооборудования</w:t>
      </w:r>
      <w:r w:rsidRPr="00DE0D5D">
        <w:rPr>
          <w:color w:val="000001"/>
          <w:lang w:val="en-US"/>
        </w:rPr>
        <w:t xml:space="preserve"> (IEC 60445, Basic and safety principles for man-machine interface, marking and identification - Identification of equipment terminals, conductor terminations and conductors)</w:t>
      </w:r>
    </w:p>
    <w:p w:rsidR="00000000" w:rsidRPr="00DE0D5D" w:rsidRDefault="00DE0D5D">
      <w:pPr>
        <w:pStyle w:val="FORMATTEXT"/>
        <w:ind w:firstLine="568"/>
        <w:jc w:val="both"/>
        <w:rPr>
          <w:color w:val="000001"/>
          <w:lang w:val="en-US"/>
        </w:rPr>
      </w:pPr>
      <w:r w:rsidRPr="00DE0D5D">
        <w:rPr>
          <w:color w:val="000001"/>
          <w:lang w:val="en-US"/>
        </w:rPr>
        <w:t xml:space="preserve"> </w:t>
      </w:r>
    </w:p>
    <w:p w:rsidR="00000000" w:rsidRPr="00DE0D5D" w:rsidRDefault="00DE0D5D">
      <w:pPr>
        <w:pStyle w:val="FORMATTEXT"/>
        <w:ind w:firstLine="568"/>
        <w:jc w:val="both"/>
        <w:rPr>
          <w:color w:val="000001"/>
          <w:lang w:val="en-US"/>
        </w:rPr>
      </w:pPr>
      <w:r>
        <w:rPr>
          <w:color w:val="000001"/>
        </w:rPr>
        <w:t>МЭК 61056-1:2012</w:t>
      </w:r>
      <w:r>
        <w:rPr>
          <w:color w:val="000001"/>
        </w:rPr>
        <w:t xml:space="preserve"> Батареи свинцово-кислотные аккумуляторные общего назначения (типы с регулирующим клапаном). Часть</w:t>
      </w:r>
      <w:r w:rsidRPr="00DE0D5D">
        <w:rPr>
          <w:color w:val="000001"/>
          <w:lang w:val="en-US"/>
        </w:rPr>
        <w:t xml:space="preserve"> 1. </w:t>
      </w:r>
      <w:r>
        <w:rPr>
          <w:color w:val="000001"/>
        </w:rPr>
        <w:t>Общие</w:t>
      </w:r>
      <w:r w:rsidRPr="00DE0D5D">
        <w:rPr>
          <w:color w:val="000001"/>
          <w:lang w:val="en-US"/>
        </w:rPr>
        <w:t xml:space="preserve"> </w:t>
      </w:r>
      <w:r>
        <w:rPr>
          <w:color w:val="000001"/>
        </w:rPr>
        <w:t>требования</w:t>
      </w:r>
      <w:r w:rsidRPr="00DE0D5D">
        <w:rPr>
          <w:color w:val="000001"/>
          <w:lang w:val="en-US"/>
        </w:rPr>
        <w:t xml:space="preserve">, </w:t>
      </w:r>
      <w:r>
        <w:rPr>
          <w:color w:val="000001"/>
        </w:rPr>
        <w:t>функциональные</w:t>
      </w:r>
      <w:r w:rsidRPr="00DE0D5D">
        <w:rPr>
          <w:color w:val="000001"/>
          <w:lang w:val="en-US"/>
        </w:rPr>
        <w:t xml:space="preserve"> </w:t>
      </w:r>
      <w:r>
        <w:rPr>
          <w:color w:val="000001"/>
        </w:rPr>
        <w:t>характеристики</w:t>
      </w:r>
      <w:r w:rsidRPr="00DE0D5D">
        <w:rPr>
          <w:color w:val="000001"/>
          <w:lang w:val="en-US"/>
        </w:rPr>
        <w:t xml:space="preserve">. </w:t>
      </w:r>
      <w:r>
        <w:rPr>
          <w:color w:val="000001"/>
        </w:rPr>
        <w:t>Методы</w:t>
      </w:r>
      <w:r w:rsidRPr="00DE0D5D">
        <w:rPr>
          <w:color w:val="000001"/>
          <w:lang w:val="en-US"/>
        </w:rPr>
        <w:t xml:space="preserve"> </w:t>
      </w:r>
      <w:r>
        <w:rPr>
          <w:color w:val="000001"/>
        </w:rPr>
        <w:t>испытания</w:t>
      </w:r>
      <w:r w:rsidRPr="00DE0D5D">
        <w:rPr>
          <w:color w:val="000001"/>
          <w:lang w:val="en-US"/>
        </w:rPr>
        <w:t xml:space="preserve"> (IEC 61056-1:2012, General purpose lead acid batteries (valve-regulated types) - Part 1:</w:t>
      </w:r>
      <w:r w:rsidRPr="00DE0D5D">
        <w:rPr>
          <w:color w:val="000001"/>
          <w:lang w:val="en-US"/>
        </w:rPr>
        <w:t xml:space="preserve"> General requirements, functional characteristics - Methods of test)</w:t>
      </w:r>
    </w:p>
    <w:p w:rsidR="00000000" w:rsidRPr="00DE0D5D" w:rsidRDefault="00DE0D5D">
      <w:pPr>
        <w:pStyle w:val="FORMATTEXT"/>
        <w:ind w:firstLine="568"/>
        <w:jc w:val="both"/>
        <w:rPr>
          <w:color w:val="000001"/>
          <w:lang w:val="en-US"/>
        </w:rPr>
      </w:pPr>
      <w:r w:rsidRPr="00DE0D5D">
        <w:rPr>
          <w:color w:val="000001"/>
          <w:lang w:val="en-US"/>
        </w:rPr>
        <w:t xml:space="preserve"> </w:t>
      </w:r>
    </w:p>
    <w:p w:rsidR="00000000" w:rsidRPr="00DE0D5D" w:rsidRDefault="00DE0D5D">
      <w:pPr>
        <w:pStyle w:val="FORMATTEXT"/>
        <w:ind w:firstLine="568"/>
        <w:jc w:val="both"/>
        <w:rPr>
          <w:color w:val="000001"/>
          <w:lang w:val="en-US"/>
        </w:rPr>
      </w:pPr>
    </w:p>
    <w:p w:rsidR="00000000" w:rsidRPr="00DE0D5D" w:rsidRDefault="00DE0D5D">
      <w:pPr>
        <w:pStyle w:val="FORMATTEXT"/>
        <w:ind w:firstLine="568"/>
        <w:jc w:val="both"/>
        <w:rPr>
          <w:color w:val="000001"/>
          <w:lang w:val="en-US"/>
        </w:rPr>
      </w:pPr>
    </w:p>
    <w:p w:rsidR="00000000" w:rsidRPr="00DE0D5D" w:rsidRDefault="00DE0D5D">
      <w:pPr>
        <w:pStyle w:val="HEADERTEXT"/>
        <w:ind w:firstLine="568"/>
        <w:jc w:val="both"/>
        <w:rPr>
          <w:b/>
          <w:bCs/>
          <w:color w:val="000001"/>
          <w:lang w:val="en-US"/>
        </w:rPr>
      </w:pPr>
    </w:p>
    <w:p w:rsidR="00000000" w:rsidRDefault="00DE0D5D" w:rsidP="00DE0D5D">
      <w:pPr>
        <w:pStyle w:val="2"/>
        <w:rPr>
          <w:color w:val="000001"/>
        </w:rPr>
      </w:pPr>
      <w:r w:rsidRPr="00DE0D5D">
        <w:rPr>
          <w:b w:val="0"/>
          <w:bCs w:val="0"/>
          <w:color w:val="000001"/>
          <w:lang w:val="en-US"/>
        </w:rPr>
        <w:t xml:space="preserve">      </w:t>
      </w:r>
      <w:r>
        <w:rPr>
          <w:b w:val="0"/>
          <w:bCs w:val="0"/>
          <w:color w:val="000001"/>
        </w:rPr>
        <w:t xml:space="preserve">3 Термины и определения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настоящем стандарте использованы термины по МЭК 61056-1, а также следующие термины с соответствующими определениями: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3.1 </w:t>
      </w:r>
      <w:r>
        <w:rPr>
          <w:b/>
          <w:bCs/>
          <w:color w:val="000001"/>
        </w:rPr>
        <w:t>вывод свинцового типа</w:t>
      </w:r>
      <w:r>
        <w:rPr>
          <w:color w:val="000001"/>
        </w:rPr>
        <w:t xml:space="preserve"> (le</w:t>
      </w:r>
      <w:r>
        <w:rPr>
          <w:color w:val="000001"/>
        </w:rPr>
        <w:t>ad-type terminal): Вывод батареи, к которому подсоединяется один конец свинцового провода в поливинилхлоридной изоляции, а другой монтируется на оборудовании.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3.2 </w:t>
      </w:r>
      <w:r>
        <w:rPr>
          <w:b/>
          <w:bCs/>
          <w:color w:val="000001"/>
        </w:rPr>
        <w:t>вывод под болт</w:t>
      </w:r>
      <w:r>
        <w:rPr>
          <w:color w:val="000001"/>
        </w:rPr>
        <w:t xml:space="preserve"> (screw contact): Вывод должен иметь конструкцию под болт и накручивающуюся г</w:t>
      </w:r>
      <w:r>
        <w:rPr>
          <w:color w:val="000001"/>
        </w:rPr>
        <w:t>айку, подвергшиеся предварительно свинцовому покрытию для соединения с проводником под болт.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DE0D5D" w:rsidP="00DE0D5D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4 Размеры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Стандартизованные размеры батарей, их номинальное напряжение, конфигурация и емкость представлены в таблицах 1 и 2.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1 - Призмати</w:t>
      </w:r>
      <w:r>
        <w:rPr>
          <w:color w:val="000001"/>
        </w:rPr>
        <w:t>ческие конструкции (Р-тип)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8"/>
        <w:gridCol w:w="1077"/>
        <w:gridCol w:w="914"/>
        <w:gridCol w:w="1078"/>
        <w:gridCol w:w="1077"/>
        <w:gridCol w:w="1540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Обозначение типа</w:t>
            </w:r>
            <w:r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114300" cy="17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Номинальное напряжение, В </w:t>
            </w:r>
          </w:p>
        </w:tc>
        <w:tc>
          <w:tcPr>
            <w:tcW w:w="56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Внешние размеры бака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Емкость </w:t>
            </w: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159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, А·ч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Длина, мм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Ширина, мм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Высота, мм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Допуск ±, мм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Общая максимальная высота, мм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2Р100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10,0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4Р10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4Р30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91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6Р10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6Р12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97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  <w:u w:val="single"/>
              </w:rPr>
              <w:t>3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1,2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6Р30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134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6Р32А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119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128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3,2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6Р40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  <w:u w:val="single"/>
              </w:rPr>
              <w:t>2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111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6Р42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98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  <w:u w:val="single"/>
              </w:rPr>
              <w:t>2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107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4,2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6Р60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151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  <w:u w:val="single"/>
              </w:rPr>
              <w:t>3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6,0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6Р70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98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118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127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7,0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6Р100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152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10,0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6Р200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157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83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125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134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20,0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8Р25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134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2,5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8Р30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179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12Р7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96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61,5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63,5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0,7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12Р12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98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  <w:u w:val="single"/>
              </w:rPr>
              <w:t>4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1,2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12Р19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178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1,9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12Р25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199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2,5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12Р29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98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2,9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12Р30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134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12Р40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195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12Р50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90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111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12Р50А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152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12Р60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151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6,0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12Р100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152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98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  <w:u w:val="single"/>
              </w:rPr>
              <w:t>3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10,0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12Р150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181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167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176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15,0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12Р240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175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167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125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134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24,0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12Р240А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166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125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175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177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24,0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12Р380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204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172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178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38,0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12Р380А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194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162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179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38,0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12Р500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234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169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190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193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50,0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12Р600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275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170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190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193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60,0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12Р650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350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166 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174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176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65,0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114300" cy="177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В нумерации и обозначении типа используются следующие символы: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первая цифра, например "2", обозначает номинальное напряжение;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"Р" - призматическая;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последующие цифры, например "25", обозначают Емкость</w:t>
            </w:r>
            <w:r>
              <w:rPr>
                <w:noProof/>
                <w:color w:val="000001"/>
                <w:position w:val="-4"/>
                <w:sz w:val="18"/>
                <w:szCs w:val="18"/>
              </w:rPr>
              <w:drawing>
                <wp:inline distT="0" distB="0" distL="0" distR="0">
                  <wp:extent cx="88900" cy="1016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10=25 А·ч.</w:t>
            </w: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Примечание 1 - В графе "Емкость </w:t>
            </w: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1590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, А·ч" указана приблизительная емкость, относящаяся только к ее значению.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Примечание 2 - Размеры показаны на рисунке 1.</w:t>
            </w: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</w:tbl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2 - Цилиндрич</w:t>
      </w:r>
      <w:r>
        <w:rPr>
          <w:color w:val="000001"/>
        </w:rPr>
        <w:t>еские формы (С-тип)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8"/>
        <w:gridCol w:w="1227"/>
        <w:gridCol w:w="1228"/>
        <w:gridCol w:w="1227"/>
        <w:gridCol w:w="1541"/>
        <w:gridCol w:w="1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Обозначение типа</w:t>
            </w:r>
            <w:r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114300" cy="17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Номинальное напряжение, В </w:t>
            </w: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Максимальные размеры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Общая максимальная высота, мм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Емкость </w:t>
            </w: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1590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, А·ч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Высота, мм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Диаметр, мм 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Допуск ±, мм 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2С25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61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2С</w:t>
            </w:r>
            <w:r>
              <w:rPr>
                <w:color w:val="000001"/>
                <w:sz w:val="18"/>
                <w:szCs w:val="18"/>
              </w:rPr>
              <w:t xml:space="preserve">50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72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 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2С130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123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 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137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2С250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158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 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176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114300" cy="177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В нумерации и обозначении типа используются следующие символы: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первая цифра, например "2", обозначает номинальное напряжение;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"С" - цилиндрическая;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последующие цифры, например "25", обозначают Емкость</w:t>
            </w:r>
            <w:r>
              <w:rPr>
                <w:noProof/>
                <w:color w:val="000001"/>
                <w:position w:val="-4"/>
                <w:sz w:val="18"/>
                <w:szCs w:val="18"/>
              </w:rPr>
              <w:drawing>
                <wp:inline distT="0" distB="0" distL="0" distR="0">
                  <wp:extent cx="88900" cy="10160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10=25 А·ч.</w:t>
            </w: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Примечание 1 - В графе "Емкость </w:t>
            </w: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1590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, А·ч" указана приблизительная емкость, относящаяся только к ее значению.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Примечание 2 - Размеры показаны на рисунке 2.</w:t>
            </w:r>
          </w:p>
          <w:p w:rsidR="00000000" w:rsidRDefault="00DE0D5D">
            <w:pPr>
              <w:pStyle w:val="MIDDLEPIC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</w:tbl>
    <w:p w:rsidR="00000000" w:rsidRDefault="00DE0D5D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DE0D5D">
      <w:pPr>
        <w:pStyle w:val="TOPLEVELTEXT"/>
        <w:rPr>
          <w:color w:val="000001"/>
        </w:rPr>
      </w:pPr>
      <w:r>
        <w:rPr>
          <w:color w:val="000001"/>
        </w:rPr>
        <w:t xml:space="preserve">       </w:t>
      </w:r>
    </w:p>
    <w:p w:rsidR="00000000" w:rsidRDefault="00DE0D5D">
      <w:pPr>
        <w:pStyle w:val="FORMATTEXT"/>
        <w:jc w:val="center"/>
        <w:rPr>
          <w:color w:val="000001"/>
        </w:rPr>
      </w:pPr>
      <w:r>
        <w:rPr>
          <w:noProof/>
          <w:color w:val="000001"/>
          <w:position w:val="-66"/>
        </w:rPr>
        <w:drawing>
          <wp:inline distT="0" distB="0" distL="0" distR="0">
            <wp:extent cx="4127500" cy="17018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D5D">
      <w:pPr>
        <w:pStyle w:val="FORMATTEXT"/>
        <w:jc w:val="center"/>
        <w:rPr>
          <w:color w:val="000001"/>
        </w:rPr>
      </w:pPr>
      <w:r>
        <w:rPr>
          <w:color w:val="000001"/>
        </w:rPr>
        <w:t>Рисунок 1 - Батареи призматического типа (Р-тип)</w:t>
      </w:r>
    </w:p>
    <w:p w:rsidR="00000000" w:rsidRDefault="00DE0D5D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jc w:val="center"/>
        <w:rPr>
          <w:color w:val="000001"/>
        </w:rPr>
      </w:pPr>
      <w:r>
        <w:rPr>
          <w:noProof/>
          <w:color w:val="000001"/>
          <w:position w:val="-145"/>
        </w:rPr>
        <w:drawing>
          <wp:inline distT="0" distB="0" distL="0" distR="0">
            <wp:extent cx="2159000" cy="3695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D5D">
      <w:pPr>
        <w:pStyle w:val="FORMATTEXT"/>
        <w:jc w:val="center"/>
        <w:rPr>
          <w:color w:val="000001"/>
        </w:rPr>
      </w:pPr>
      <w:r>
        <w:rPr>
          <w:color w:val="000001"/>
        </w:rPr>
        <w:t>Рисунок 2 - Аккумуляторы цилиндрического типа (С-тип)</w:t>
      </w:r>
    </w:p>
    <w:p w:rsidR="00000000" w:rsidRDefault="00DE0D5D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 </w:t>
      </w:r>
    </w:p>
    <w:p w:rsidR="00000000" w:rsidRDefault="00DE0D5D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DE0D5D" w:rsidP="00DE0D5D">
      <w:pPr>
        <w:pStyle w:val="2"/>
        <w:rPr>
          <w:color w:val="000001"/>
        </w:rPr>
      </w:pPr>
      <w:r>
        <w:rPr>
          <w:b w:val="0"/>
          <w:bCs w:val="0"/>
          <w:color w:val="000001"/>
        </w:rPr>
        <w:lastRenderedPageBreak/>
        <w:t xml:space="preserve">      5 Выводы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Типы выводов и размеры представлены на рисунках 3, 4, 5,</w:t>
      </w:r>
      <w:r>
        <w:rPr>
          <w:color w:val="000001"/>
        </w:rPr>
        <w:t xml:space="preserve"> 6 и 7.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right"/>
        <w:rPr>
          <w:color w:val="000001"/>
        </w:rPr>
      </w:pPr>
    </w:p>
    <w:p w:rsidR="00000000" w:rsidRDefault="00DE0D5D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Размеры в миллиметрах </w:t>
      </w:r>
    </w:p>
    <w:p w:rsidR="00000000" w:rsidRDefault="00DE0D5D">
      <w:pPr>
        <w:pStyle w:val="TOPLEVELTEXT"/>
        <w:ind w:firstLine="568"/>
        <w:jc w:val="center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DE0D5D">
      <w:pPr>
        <w:pStyle w:val="FORMATTEXT"/>
        <w:ind w:firstLine="568"/>
        <w:jc w:val="center"/>
        <w:rPr>
          <w:color w:val="000001"/>
        </w:rPr>
      </w:pPr>
      <w:r>
        <w:rPr>
          <w:noProof/>
          <w:color w:val="000001"/>
          <w:position w:val="-93"/>
        </w:rPr>
        <w:drawing>
          <wp:inline distT="0" distB="0" distL="0" distR="0">
            <wp:extent cx="4216400" cy="2387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D5D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Рисунок 3 - F-контакты (плоские контакты)</w:t>
      </w:r>
    </w:p>
    <w:p w:rsidR="00000000" w:rsidRDefault="00DE0D5D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Размеры в миллиметрах </w:t>
      </w:r>
    </w:p>
    <w:p w:rsidR="00000000" w:rsidRDefault="00DE0D5D">
      <w:pPr>
        <w:pStyle w:val="TOPLEVELTEXT"/>
        <w:ind w:firstLine="568"/>
        <w:jc w:val="center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DE0D5D">
      <w:pPr>
        <w:pStyle w:val="FORMATTEXT"/>
        <w:ind w:firstLine="568"/>
        <w:jc w:val="center"/>
        <w:rPr>
          <w:color w:val="000001"/>
        </w:rPr>
      </w:pPr>
      <w:r>
        <w:rPr>
          <w:noProof/>
          <w:color w:val="000001"/>
          <w:position w:val="-127"/>
        </w:rPr>
        <w:drawing>
          <wp:inline distT="0" distB="0" distL="0" distR="0">
            <wp:extent cx="3454400" cy="32512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D5D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Рисунок 4 - В-контакты (болтовое соединение)</w:t>
      </w:r>
    </w:p>
    <w:p w:rsidR="00000000" w:rsidRDefault="00DE0D5D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Размеры в миллиметрах </w:t>
      </w:r>
    </w:p>
    <w:p w:rsidR="00000000" w:rsidRDefault="00DE0D5D">
      <w:pPr>
        <w:pStyle w:val="TOPLEVELTEXT"/>
        <w:ind w:firstLine="568"/>
        <w:jc w:val="center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DE0D5D">
      <w:pPr>
        <w:pStyle w:val="FORMATTEXT"/>
        <w:ind w:firstLine="568"/>
        <w:jc w:val="center"/>
        <w:rPr>
          <w:color w:val="000001"/>
        </w:rPr>
      </w:pPr>
      <w:r>
        <w:rPr>
          <w:noProof/>
          <w:color w:val="000001"/>
          <w:position w:val="-69"/>
        </w:rPr>
        <w:lastRenderedPageBreak/>
        <w:drawing>
          <wp:inline distT="0" distB="0" distL="0" distR="0">
            <wp:extent cx="1663700" cy="1752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D5D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Рису</w:t>
      </w:r>
      <w:r>
        <w:rPr>
          <w:color w:val="000001"/>
        </w:rPr>
        <w:t xml:space="preserve">нок 5 - Размеры свинцового вывода </w:t>
      </w:r>
    </w:p>
    <w:p w:rsidR="00000000" w:rsidRDefault="00DE0D5D">
      <w:pPr>
        <w:pStyle w:val="FORMATTEXT"/>
        <w:ind w:firstLine="568"/>
        <w:jc w:val="center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91"/>
        <w:gridCol w:w="4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86"/>
                <w:sz w:val="18"/>
                <w:szCs w:val="18"/>
              </w:rPr>
              <w:drawing>
                <wp:inline distT="0" distB="0" distL="0" distR="0">
                  <wp:extent cx="3797300" cy="1930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S5, S6, S8 охватывающие 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S5, S6, S8 охватываемые </w:t>
            </w:r>
          </w:p>
        </w:tc>
      </w:tr>
    </w:tbl>
    <w:p w:rsidR="00000000" w:rsidRDefault="00DE0D5D">
      <w:pPr>
        <w:pStyle w:val="FORMATTEXT"/>
        <w:jc w:val="center"/>
        <w:rPr>
          <w:color w:val="000001"/>
        </w:rPr>
      </w:pPr>
    </w:p>
    <w:p w:rsidR="00000000" w:rsidRDefault="00DE0D5D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Рисунок 6 - Стыкующиеся контакты </w:t>
      </w:r>
    </w:p>
    <w:p w:rsidR="00000000" w:rsidRDefault="00DE0D5D">
      <w:pPr>
        <w:pStyle w:val="FORMATTEXT"/>
        <w:rPr>
          <w:color w:val="000001"/>
        </w:rPr>
      </w:pPr>
    </w:p>
    <w:p w:rsidR="00000000" w:rsidRDefault="00DE0D5D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Размер в миллиметрах </w:t>
      </w:r>
    </w:p>
    <w:p w:rsidR="00000000" w:rsidRDefault="00DE0D5D">
      <w:pPr>
        <w:pStyle w:val="FORMATTEXT"/>
        <w:jc w:val="center"/>
        <w:rPr>
          <w:color w:val="000001"/>
        </w:rPr>
      </w:pPr>
      <w:r>
        <w:rPr>
          <w:noProof/>
          <w:color w:val="000001"/>
          <w:position w:val="-36"/>
        </w:rPr>
        <w:drawing>
          <wp:inline distT="0" distB="0" distL="0" distR="0">
            <wp:extent cx="1816100" cy="939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D5D">
      <w:pPr>
        <w:pStyle w:val="FORMATTEXT"/>
        <w:jc w:val="center"/>
        <w:rPr>
          <w:color w:val="000001"/>
        </w:rPr>
      </w:pPr>
      <w:r>
        <w:rPr>
          <w:color w:val="000001"/>
        </w:rPr>
        <w:t>Рисунок 7 - К-контакт (кнопочный контакт)</w:t>
      </w:r>
    </w:p>
    <w:p w:rsidR="00000000" w:rsidRDefault="00DE0D5D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 </w:t>
      </w:r>
    </w:p>
    <w:p w:rsidR="00000000" w:rsidRDefault="00DE0D5D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DE0D5D" w:rsidP="00DE0D5D">
      <w:pPr>
        <w:pStyle w:val="2"/>
        <w:rPr>
          <w:b w:val="0"/>
          <w:bCs w:val="0"/>
          <w:color w:val="000001"/>
        </w:rPr>
      </w:pPr>
      <w:r>
        <w:rPr>
          <w:b w:val="0"/>
          <w:bCs w:val="0"/>
          <w:color w:val="000001"/>
        </w:rPr>
        <w:t xml:space="preserve">      6 Маркировка</w:t>
      </w:r>
    </w:p>
    <w:p w:rsidR="00000000" w:rsidRDefault="00DE0D5D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  <w:r>
        <w:rPr>
          <w:b/>
          <w:bCs/>
          <w:color w:val="000001"/>
        </w:rPr>
        <w:t xml:space="preserve">  </w:t>
      </w:r>
    </w:p>
    <w:p w:rsidR="00000000" w:rsidRDefault="00DE0D5D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6.1 Маркировка полярности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Положительную полярность следует маркировать знаком "+", а отрицательную - знаком "-".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Знаки полярности обозначаются различием цвета полюсных выводов в соответствии с МЭК 60445.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     6.2 Состав маркировки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Мар</w:t>
      </w:r>
      <w:r>
        <w:rPr>
          <w:color w:val="000001"/>
        </w:rPr>
        <w:t>кировка должна содержать необходимый минимум информации о батарее.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Следующая информация должна быть ясно и четко нанесена на каждую батарею: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a) наименование изготовителя или торговая марка;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b) обозначение типа или наименование изделия.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-</w:t>
      </w:r>
      <w:r>
        <w:rPr>
          <w:color w:val="000001"/>
        </w:rPr>
        <w:t xml:space="preserve"> Стандартное обозначение типа по настоящему стандарту в запоминающем устройстве устанавливается отдельно для каждой батареи;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>c) номинальное напряжение (</w:t>
      </w:r>
      <w:r>
        <w:rPr>
          <w:noProof/>
          <w:color w:val="000001"/>
          <w:position w:val="-5"/>
        </w:rPr>
        <w:drawing>
          <wp:inline distT="0" distB="0" distL="0" distR="0">
            <wp:extent cx="228600" cy="139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2,0), В;</w:t>
      </w:r>
    </w:p>
    <w:p w:rsidR="00000000" w:rsidRDefault="00DE0D5D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d) номинальная емкость </w:t>
      </w:r>
      <w:r>
        <w:rPr>
          <w:noProof/>
          <w:color w:val="000001"/>
          <w:position w:val="-9"/>
        </w:rPr>
        <w:drawing>
          <wp:inline distT="0" distB="0" distL="0" distR="0">
            <wp:extent cx="2667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;</w:t>
      </w:r>
    </w:p>
    <w:p w:rsidR="00000000" w:rsidRDefault="00DE0D5D">
      <w:pPr>
        <w:pStyle w:val="MIDDLEPIC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e) полярность;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f) дата изготовления, аббревиатура или код;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g) знаки безопасности по национальному или международному стандартам;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h) символ переработки (см. МЭК 61429).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DE0D5D" w:rsidP="00DE0D5D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7 Классификация батарей по форме</w:t>
      </w:r>
      <w:r>
        <w:rPr>
          <w:b w:val="0"/>
          <w:bCs w:val="0"/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Классификация батарей по форме приведена в таблицах 1 и 2.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Батареи призматической формы (Р-тип) показаны на рисунке 1. Батареи цилиндрической формы (С-тип) показаны на рисунке 2.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DE0D5D" w:rsidP="00DE0D5D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     8 Классификация типов выводов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Типичная</w:t>
      </w:r>
      <w:r w:rsidRPr="00DE0D5D">
        <w:rPr>
          <w:color w:val="000001"/>
        </w:rPr>
        <w:t xml:space="preserve"> </w:t>
      </w:r>
      <w:r>
        <w:rPr>
          <w:color w:val="000001"/>
        </w:rPr>
        <w:t>форма выводов указан</w:t>
      </w:r>
      <w:r>
        <w:rPr>
          <w:color w:val="000001"/>
        </w:rPr>
        <w:t xml:space="preserve">а на рисунках 3-7. </w:t>
      </w:r>
    </w:p>
    <w:p w:rsidR="00000000" w:rsidRDefault="00DE0D5D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DE0D5D">
      <w:pPr>
        <w:pStyle w:val="FORMATTEXT"/>
        <w:ind w:firstLine="568"/>
        <w:jc w:val="center"/>
        <w:rPr>
          <w:color w:val="000001"/>
        </w:rPr>
      </w:pPr>
    </w:p>
    <w:p w:rsidR="00000000" w:rsidRDefault="00DE0D5D" w:rsidP="00DE0D5D">
      <w:pPr>
        <w:pStyle w:val="2"/>
        <w:rPr>
          <w:color w:val="000001"/>
        </w:rPr>
      </w:pPr>
      <w:r>
        <w:rPr>
          <w:color w:val="000001"/>
        </w:rPr>
        <w:lastRenderedPageBreak/>
        <w:t>Приложение ДА</w:t>
      </w:r>
    </w:p>
    <w:p w:rsidR="00000000" w:rsidRDefault="00DE0D5D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(справочное)</w:t>
      </w:r>
    </w:p>
    <w:p w:rsidR="00000000" w:rsidRDefault="00DE0D5D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DE0D5D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Сведения о соответствии ссылочных международных стандартов ссылочным национальным стандартам Российской Федерации </w:t>
      </w:r>
    </w:p>
    <w:p w:rsidR="00000000" w:rsidRDefault="00DE0D5D">
      <w:pPr>
        <w:pStyle w:val="FORMATTEXT"/>
        <w:ind w:firstLine="568"/>
        <w:jc w:val="both"/>
        <w:rPr>
          <w:color w:val="000001"/>
        </w:rPr>
      </w:pPr>
    </w:p>
    <w:p w:rsidR="00000000" w:rsidRDefault="00DE0D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Таблица ДА.1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19"/>
        <w:gridCol w:w="1684"/>
        <w:gridCol w:w="4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Обозначение ссылочного международного стандарта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Степень соответств</w:t>
            </w:r>
            <w:r>
              <w:rPr>
                <w:color w:val="000001"/>
                <w:sz w:val="18"/>
                <w:szCs w:val="18"/>
              </w:rPr>
              <w:t xml:space="preserve">ия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Обозначение и наименование соответствующего национального стандарта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МЭК 60445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*</w:t>
            </w:r>
          </w:p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МЭК 61056-1:2012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IDT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Р МЭК 61056-1-2012 "Батареи свинцово-кислотные общего назначения (типы с регулирующим клапаном). Часть 1. Общие требования, функционал</w:t>
            </w:r>
            <w:r>
              <w:rPr>
                <w:color w:val="000001"/>
                <w:sz w:val="18"/>
                <w:szCs w:val="18"/>
              </w:rPr>
              <w:t>ьные характеристики. Методы испытаний"</w:t>
            </w:r>
          </w:p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* 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ОАО</w:t>
            </w:r>
            <w:r>
              <w:rPr>
                <w:color w:val="000001"/>
                <w:sz w:val="18"/>
                <w:szCs w:val="18"/>
              </w:rPr>
              <w:t xml:space="preserve"> "НИИСТА".</w:t>
            </w: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Примечание - В настоящей таблице использовано следующее условное обозначение степени соответствия стандартов:</w:t>
            </w: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IDT - идентичные стандарты.</w:t>
            </w: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</w:tbl>
    <w:p w:rsidR="00000000" w:rsidRDefault="00DE0D5D">
      <w:pPr>
        <w:pStyle w:val="FORMATTEXT"/>
        <w:jc w:val="center"/>
        <w:rPr>
          <w:color w:val="000001"/>
        </w:rPr>
      </w:pPr>
    </w:p>
    <w:p w:rsidR="00000000" w:rsidRDefault="00DE0D5D">
      <w:pPr>
        <w:pStyle w:val="HEADERTEXT"/>
        <w:jc w:val="center"/>
        <w:rPr>
          <w:b/>
          <w:bCs/>
          <w:color w:val="000001"/>
        </w:rPr>
      </w:pPr>
    </w:p>
    <w:p w:rsidR="00000000" w:rsidRDefault="00DE0D5D" w:rsidP="00DE0D5D">
      <w:pPr>
        <w:pStyle w:val="2"/>
        <w:rPr>
          <w:color w:val="000001"/>
        </w:rPr>
      </w:pPr>
      <w:r>
        <w:rPr>
          <w:b w:val="0"/>
          <w:bCs w:val="0"/>
          <w:color w:val="000001"/>
        </w:rPr>
        <w:t xml:space="preserve"> Библиография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54"/>
        <w:gridCol w:w="6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МЭК 60051-1:1997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Приборы аналоговые, электроизмерительные, показывающие, п</w:t>
            </w:r>
            <w:r>
              <w:rPr>
                <w:color w:val="000001"/>
                <w:sz w:val="18"/>
                <w:szCs w:val="18"/>
              </w:rPr>
              <w:t>рямого действия и части к ним. Часть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1. </w:t>
            </w:r>
            <w:r>
              <w:rPr>
                <w:color w:val="000001"/>
                <w:sz w:val="18"/>
                <w:szCs w:val="18"/>
              </w:rPr>
              <w:t>Определения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и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основные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требования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, </w:t>
            </w:r>
            <w:r>
              <w:rPr>
                <w:color w:val="000001"/>
                <w:sz w:val="18"/>
                <w:szCs w:val="18"/>
              </w:rPr>
              <w:t>общие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для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всех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частей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(IEC 60051-1:1997, Direct acting indicating analogue electrical measuring instruments and their accessories. </w:t>
            </w:r>
            <w:r>
              <w:rPr>
                <w:color w:val="000001"/>
                <w:sz w:val="18"/>
                <w:szCs w:val="18"/>
              </w:rPr>
              <w:t>Part 1. Definitions and general requirements commo</w:t>
            </w:r>
            <w:r>
              <w:rPr>
                <w:color w:val="000001"/>
                <w:sz w:val="18"/>
                <w:szCs w:val="18"/>
              </w:rPr>
              <w:t>n to all parts)</w:t>
            </w: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 w:rsidRPr="00DE0D5D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МЭК 60095 (все части)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DE0D5D" w:rsidRDefault="00DE0D5D">
            <w:pPr>
              <w:pStyle w:val="FORMATTEXT"/>
              <w:jc w:val="both"/>
              <w:rPr>
                <w:color w:val="000001"/>
                <w:sz w:val="18"/>
                <w:szCs w:val="18"/>
                <w:lang w:val="en-US"/>
              </w:rPr>
            </w:pPr>
            <w:r>
              <w:rPr>
                <w:color w:val="000001"/>
                <w:sz w:val="18"/>
                <w:szCs w:val="18"/>
              </w:rPr>
              <w:t>Батареи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стартерные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свинцово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>-</w:t>
            </w:r>
            <w:r>
              <w:rPr>
                <w:color w:val="000001"/>
                <w:sz w:val="18"/>
                <w:szCs w:val="18"/>
              </w:rPr>
              <w:t>кислотные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(IEC 60095 (all parts), Lead-acid starter batteries)</w:t>
            </w:r>
          </w:p>
          <w:p w:rsidR="00000000" w:rsidRPr="00DE0D5D" w:rsidRDefault="00DE0D5D">
            <w:pPr>
              <w:pStyle w:val="FORMATTEXT"/>
              <w:jc w:val="both"/>
              <w:rPr>
                <w:color w:val="000001"/>
                <w:sz w:val="18"/>
                <w:szCs w:val="18"/>
                <w:lang w:val="en-US"/>
              </w:rPr>
            </w:pP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 w:rsidRPr="00DE0D5D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МЭК 60254 (все части)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DE0D5D" w:rsidRDefault="00DE0D5D">
            <w:pPr>
              <w:pStyle w:val="FORMATTEXT"/>
              <w:jc w:val="both"/>
              <w:rPr>
                <w:color w:val="000001"/>
                <w:sz w:val="18"/>
                <w:szCs w:val="18"/>
                <w:lang w:val="en-US"/>
              </w:rPr>
            </w:pPr>
            <w:r>
              <w:rPr>
                <w:color w:val="000001"/>
                <w:sz w:val="18"/>
                <w:szCs w:val="18"/>
              </w:rPr>
              <w:t>Батареи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свинцово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>-</w:t>
            </w:r>
            <w:r>
              <w:rPr>
                <w:color w:val="000001"/>
                <w:sz w:val="18"/>
                <w:szCs w:val="18"/>
              </w:rPr>
              <w:t>кислотные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тяговые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(IEC 60254 (all parts), Lead-acid traction batteries)</w:t>
            </w:r>
          </w:p>
          <w:p w:rsidR="00000000" w:rsidRPr="00DE0D5D" w:rsidRDefault="00DE0D5D">
            <w:pPr>
              <w:pStyle w:val="FORMATTEXT"/>
              <w:jc w:val="both"/>
              <w:rPr>
                <w:color w:val="000001"/>
                <w:sz w:val="18"/>
                <w:szCs w:val="18"/>
                <w:lang w:val="en-US"/>
              </w:rPr>
            </w:pP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МЭК</w:t>
            </w:r>
            <w:r>
              <w:rPr>
                <w:color w:val="000001"/>
                <w:sz w:val="18"/>
                <w:szCs w:val="18"/>
              </w:rPr>
              <w:t xml:space="preserve"> 60896 (все части)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Батареи аккумуляторные свинцово-кислотные стационарные (IEC 60896 (all parts), Stationary lead-acid batteries)</w:t>
            </w:r>
          </w:p>
          <w:p w:rsidR="00000000" w:rsidRDefault="00DE0D5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 w:rsidRPr="00DE0D5D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E0D5D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МЭК 61429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DE0D5D" w:rsidRDefault="00DE0D5D">
            <w:pPr>
              <w:pStyle w:val="FORMATTEXT"/>
              <w:jc w:val="both"/>
              <w:rPr>
                <w:color w:val="000001"/>
                <w:sz w:val="18"/>
                <w:szCs w:val="18"/>
                <w:lang w:val="en-US"/>
              </w:rPr>
            </w:pPr>
            <w:r>
              <w:rPr>
                <w:color w:val="000001"/>
                <w:sz w:val="18"/>
                <w:szCs w:val="18"/>
              </w:rPr>
              <w:t>Элементы вторичные и аккумуляторные батареи. Маркировка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международным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символом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рециркуляции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ИСО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 7000-1135 (IEC </w:t>
            </w:r>
            <w:r w:rsidRPr="00DE0D5D">
              <w:rPr>
                <w:color w:val="000001"/>
                <w:sz w:val="18"/>
                <w:szCs w:val="18"/>
                <w:lang w:val="en-US"/>
              </w:rPr>
              <w:t xml:space="preserve">61429, Marking of secondary cell and batteries with the international recycling symbol ISO 7000-1135) </w:t>
            </w:r>
          </w:p>
        </w:tc>
      </w:tr>
    </w:tbl>
    <w:p w:rsidR="00000000" w:rsidRDefault="00DE0D5D">
      <w:pPr>
        <w:pStyle w:val="FORMATTEXT"/>
        <w:ind w:firstLine="568"/>
        <w:jc w:val="both"/>
        <w:rPr>
          <w:color w:val="000001"/>
          <w:lang w:val="en-US"/>
        </w:rPr>
      </w:pPr>
    </w:p>
    <w:p w:rsidR="00DE0D5D" w:rsidRPr="00DE0D5D" w:rsidRDefault="00DE0D5D">
      <w:pPr>
        <w:pStyle w:val="FORMATTEXT"/>
        <w:ind w:firstLine="568"/>
        <w:jc w:val="both"/>
        <w:rPr>
          <w:lang w:val="en-US"/>
        </w:rPr>
      </w:pPr>
    </w:p>
    <w:sectPr w:rsidR="00DE0D5D" w:rsidRPr="00DE0D5D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5D"/>
    <w:rsid w:val="00D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0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0D5D"/>
    <w:rPr>
      <w:rFonts w:asciiTheme="majorHAnsi" w:eastAsiaTheme="majorEastAsia" w:hAnsiTheme="majorHAnsi" w:cstheme="majorBidi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0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0D5D"/>
    <w:rPr>
      <w:rFonts w:asciiTheme="majorHAnsi" w:eastAsiaTheme="majorEastAsia" w:hAnsiTheme="majorHAnsi" w:cstheme="majorBidi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МЭК 61056-2-2012 Батареи свинцово-кислотные общего назначения (типы с регулирующим клапаном). Часть 2. Размеры, выводы и маркировка </vt:lpstr>
    </vt:vector>
  </TitlesOfParts>
  <Company>Megasoftware GrouP™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МЭК 61056-2-2012 Батареи свинцово-кислотные общего назначения (типы с регулирующим клапаном). Часть 2. Размеры, выводы и маркировка</dc:title>
  <dc:creator>Администратор</dc:creator>
  <cp:lastModifiedBy>Администратор</cp:lastModifiedBy>
  <cp:revision>2</cp:revision>
  <dcterms:created xsi:type="dcterms:W3CDTF">2014-03-27T06:02:00Z</dcterms:created>
  <dcterms:modified xsi:type="dcterms:W3CDTF">2014-03-27T06:02:00Z</dcterms:modified>
</cp:coreProperties>
</file>